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Bassetlaw</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Bassetlaw</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Bassetlaw</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Bassetlaw</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Bassetlaw</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Bassetlaw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Bassetlaw</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Bassetlaw is estimated to be </w:t>
      </w:r>
      <w:r w:rsidRPr="00773DF7">
        <w:rPr>
          <w:rFonts w:ascii="Libre Franklin Light" w:eastAsia="Times New Roman" w:hAnsi="Libre Franklin Light" w:cs="Calibri Light"/>
          <w:b/>
          <w:bCs/>
          <w:color w:val="C45911" w:themeColor="accent2" w:themeShade="BF"/>
        </w:rPr>
        <w:t xml:space="preserve">£1,865,604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Bassetlaw</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Bassetlaw</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Bassetlaw</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Bassetlaw</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assetlaw.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Bassetlaw</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assetlaw.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Bassetlaw</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Bassetlaw</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assetlaw.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Bassetlaw</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Bassetlaw</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Bassetlaw</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Bassetlaw</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Bassetlaw</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Bassetlaw</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£1,865,604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Bassetlaw</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£30,388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£628,433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£45,019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£12,662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£23,213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£1,125,889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£1,865,604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Bassetlaw</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Bassetlaw</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Bassetlaw</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Bassetlaw</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Bassetlaw</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Bassetlaw</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Bassetlaw</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Bassetlaw</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Bassetlaw</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Bassetlaw</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Bassetlaw</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Bassetlaw</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7BC79EB-5F60-4F38-8975-7973E21086A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